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ind w:left="-567" w:firstLine="0"/>
        <w:jc w:val="center"/>
        <w:rPr>
          <w:rFonts w:ascii="Roboto" w:cs="Roboto" w:eastAsia="Roboto" w:hAnsi="Roboto"/>
          <w:b w:val="1"/>
          <w:color w:val="3f4c38"/>
          <w:sz w:val="48"/>
          <w:szCs w:val="48"/>
        </w:rPr>
      </w:pPr>
      <w:r w:rsidDel="00000000" w:rsidR="00000000" w:rsidRPr="00000000">
        <w:rPr>
          <w:rFonts w:ascii="Times New Roman" w:cs="Times New Roman" w:eastAsia="Times New Roman" w:hAnsi="Times New Roman"/>
          <w:b w:val="1"/>
          <w:color w:val="3f4c38"/>
          <w:sz w:val="48"/>
          <w:szCs w:val="48"/>
          <w:rtl w:val="0"/>
        </w:rPr>
        <w:t xml:space="preserve">Форум</w:t>
        <w:br w:type="textWrapping"/>
      </w:r>
      <w:r w:rsidDel="00000000" w:rsidR="00000000" w:rsidRPr="00000000">
        <w:rPr>
          <w:rFonts w:ascii="Roboto" w:cs="Roboto" w:eastAsia="Roboto" w:hAnsi="Roboto"/>
          <w:b w:val="1"/>
          <w:color w:val="3f4c38"/>
          <w:sz w:val="48"/>
          <w:szCs w:val="48"/>
          <w:rtl w:val="0"/>
        </w:rPr>
        <w:t xml:space="preserve">ФЕНОМЕН ГОРЮВАННЯ.</w:t>
        <w:br w:type="textWrapping"/>
      </w:r>
      <w:r w:rsidDel="00000000" w:rsidR="00000000" w:rsidRPr="00000000">
        <w:rPr>
          <w:rFonts w:ascii="Roboto" w:cs="Roboto" w:eastAsia="Roboto" w:hAnsi="Roboto"/>
          <w:b w:val="1"/>
          <w:smallCaps w:val="0"/>
          <w:color w:val="3f4c38"/>
          <w:sz w:val="48"/>
          <w:szCs w:val="48"/>
          <w:rtl w:val="0"/>
        </w:rPr>
        <w:t xml:space="preserve">Нові реалії для України</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9f9f9" w:val="clear"/>
        <w:spacing w:after="200" w:before="200" w:line="240" w:lineRule="auto"/>
        <w:ind w:left="-567" w:right="0" w:firstLine="0"/>
        <w:jc w:val="center"/>
        <w:rPr>
          <w:rFonts w:ascii="Times New Roman" w:cs="Times New Roman" w:eastAsia="Times New Roman" w:hAnsi="Times New Roman"/>
          <w:b w:val="1"/>
          <w:i w:val="0"/>
          <w:smallCaps w:val="0"/>
          <w:strike w:val="0"/>
          <w:color w:val="3f4c38"/>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f4c38"/>
          <w:sz w:val="28"/>
          <w:szCs w:val="28"/>
          <w:u w:val="none"/>
          <w:shd w:fill="auto" w:val="clear"/>
          <w:vertAlign w:val="baseline"/>
          <w:rtl w:val="0"/>
        </w:rPr>
        <w:t xml:space="preserve">09 грудня 2023 року, 10:00-14:00, м. Київ, ZOOM</w:t>
      </w:r>
    </w:p>
    <w:tbl>
      <w:tblPr>
        <w:tblStyle w:val="Table1"/>
        <w:tblW w:w="10140.0" w:type="dxa"/>
        <w:jc w:val="left"/>
        <w:tblInd w:w="-5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40"/>
        <w:tblGridChange w:id="0">
          <w:tblGrid>
            <w:gridCol w:w="10140"/>
          </w:tblGrid>
        </w:tblGridChange>
      </w:tblGrid>
      <w:tr>
        <w:trPr>
          <w:cantSplit w:val="0"/>
          <w:trHeight w:val="720" w:hRule="atLeast"/>
          <w:tblHeader w:val="0"/>
        </w:trPr>
        <w:tc>
          <w:tcPr>
            <w:shd w:fill="3f4c38" w:val="clear"/>
          </w:tcPr>
          <w:p w:rsidR="00000000" w:rsidDel="00000000" w:rsidP="00000000" w:rsidRDefault="00000000" w:rsidRPr="00000000" w14:paraId="00000003">
            <w:pPr>
              <w:jc w:val="center"/>
              <w:rPr>
                <w:rFonts w:ascii="Times New Roman" w:cs="Times New Roman" w:eastAsia="Times New Roman" w:hAnsi="Times New Roman"/>
                <w:color w:val="ffffff"/>
                <w:sz w:val="32"/>
                <w:szCs w:val="32"/>
              </w:rPr>
            </w:pPr>
            <w:r w:rsidDel="00000000" w:rsidR="00000000" w:rsidRPr="00000000">
              <w:rPr>
                <w:rFonts w:ascii="Times New Roman" w:cs="Times New Roman" w:eastAsia="Times New Roman" w:hAnsi="Times New Roman"/>
                <w:color w:val="ffffff"/>
                <w:sz w:val="32"/>
                <w:szCs w:val="32"/>
                <w:rtl w:val="0"/>
              </w:rPr>
              <w:t xml:space="preserve">ЗАГАЛЬНА ІНФОРМАЦІЯ ТА АКТУАЛЬНІСТЬ ФОРУМУ</w:t>
            </w:r>
          </w:p>
        </w:tc>
      </w:tr>
    </w:tbl>
    <w:p w:rsidR="00000000" w:rsidDel="00000000" w:rsidP="00000000" w:rsidRDefault="00000000" w:rsidRPr="00000000" w14:paraId="00000004">
      <w:pPr>
        <w:rPr/>
      </w:pPr>
      <w:r w:rsidDel="00000000" w:rsidR="00000000" w:rsidRPr="00000000">
        <w:rPr>
          <w:rtl w:val="0"/>
        </w:rPr>
        <w:t xml:space="preserve">Сьогоднішня війна в Україні – це черговий масовий травматичний досвід цілої нації. Але на відміну від попередніх поколінь, сьогодні ми маємо набагато більше розуміння, знань на практичних інструментів, щоб працювати з наслідками війни, такими як горювання після втрати, аби вони не переходили в хронічні табуйовані травматичні досвіди цілих поколінь.</w:t>
      </w:r>
    </w:p>
    <w:p w:rsidR="00000000" w:rsidDel="00000000" w:rsidP="00000000" w:rsidRDefault="00000000" w:rsidRPr="00000000" w14:paraId="00000005">
      <w:pPr>
        <w:rPr/>
      </w:pPr>
      <w:r w:rsidDel="00000000" w:rsidR="00000000" w:rsidRPr="00000000">
        <w:rPr>
          <w:rtl w:val="0"/>
        </w:rPr>
        <w:t xml:space="preserve">Ми розглядаємо горювання, як надпотужний процес ініціації свого нового стану та нової самоідентифікації. Мета процесу горювання – інтегрувати у своє життя внутрішню і зовнішню змінену реальність, втрату, померлу людину або те, що було втрачено. Цей феномен дає змогу спочатку подивитись на смерть чи іншу не фатальну, але також вагому, втрату, спертися на цей досвід, і в результаті, почати знову рухатися в сторону повноцінного життя, замість того, щоб застрягати у болі та стражданнях. </w:t>
      </w:r>
    </w:p>
    <w:p w:rsidR="00000000" w:rsidDel="00000000" w:rsidP="00000000" w:rsidRDefault="00000000" w:rsidRPr="00000000" w14:paraId="00000006">
      <w:pPr>
        <w:spacing w:after="0" w:before="0" w:line="240" w:lineRule="auto"/>
        <w:ind w:left="-566.929133858267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Учасники освітнього процесу постійно знаходяться в контакті з людьми, які проживають горювання – дітками та дорослими. Окрім того, що багато з них самі мають власний досвід зустрічі з горем, вони постійно контактують з чужим болем та історіями втрат. Саме тому представники освітнього середовища потребують знань та навичок, які б дали їм можливість підтримувати інших і водночас зберігати власне ментальне здоров’я.</w:t>
      </w:r>
    </w:p>
    <w:p w:rsidR="00000000" w:rsidDel="00000000" w:rsidP="00000000" w:rsidRDefault="00000000" w:rsidRPr="00000000" w14:paraId="00000007">
      <w:pPr>
        <w:rPr/>
      </w:pPr>
      <w:r w:rsidDel="00000000" w:rsidR="00000000" w:rsidRPr="00000000">
        <w:rPr>
          <w:rtl w:val="0"/>
        </w:rPr>
        <w:t xml:space="preserve">Тож на форумі будемо розбирати феномен горювання під незвичним для багатьох кутом. Говоритимемо про те, в чому полягає цінність та важливість горювання, що з нами відбувається в процесі горя та як прожити його правильно – так, щоб воно не визначало все наше життя після втрати. Також наші експертки поділяться практичним професійним досвідом того, як допомагати та підтримувати тих, хто пережив втрату, говоритимуть про особливості дитячого горювання та розкажуть, як з медично та психологічно обґрунтованої точки зору через коректне проживання горювання можна вийти на посттравматичне зростання.</w:t>
      </w:r>
    </w:p>
    <w:p w:rsidR="00000000" w:rsidDel="00000000" w:rsidP="00000000" w:rsidRDefault="00000000" w:rsidRPr="00000000" w14:paraId="00000008">
      <w:pPr>
        <w:rPr/>
      </w:pPr>
      <w:r w:rsidDel="00000000" w:rsidR="00000000" w:rsidRPr="00000000">
        <w:rPr>
          <w:rtl w:val="0"/>
        </w:rPr>
        <w:t xml:space="preserve">Форум розрахований на всіх представників освітнього середовища, хто має бажання розширювати на вдосконалювати свої знання та навички, хто хоче краще розуміти, що відбувається під час горювання та як допомагати собі чи іншим в цьому процесі. </w:t>
      </w:r>
      <w:r w:rsidDel="00000000" w:rsidR="00000000" w:rsidRPr="00000000">
        <w:rPr>
          <w:rtl w:val="0"/>
        </w:rPr>
      </w:r>
    </w:p>
    <w:tbl>
      <w:tblPr>
        <w:tblStyle w:val="Table2"/>
        <w:tblW w:w="9960.0" w:type="dxa"/>
        <w:jc w:val="left"/>
        <w:tblInd w:w="-6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60"/>
        <w:tblGridChange w:id="0">
          <w:tblGrid>
            <w:gridCol w:w="9960"/>
          </w:tblGrid>
        </w:tblGridChange>
      </w:tblGrid>
      <w:tr>
        <w:trPr>
          <w:cantSplit w:val="0"/>
          <w:trHeight w:val="342" w:hRule="atLeast"/>
          <w:tblHeader w:val="0"/>
        </w:trPr>
        <w:tc>
          <w:tcPr>
            <w:shd w:fill="3f4c38" w:val="clear"/>
          </w:tcPr>
          <w:p w:rsidR="00000000" w:rsidDel="00000000" w:rsidP="00000000" w:rsidRDefault="00000000" w:rsidRPr="00000000" w14:paraId="00000009">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ffffff"/>
                <w:sz w:val="32"/>
                <w:szCs w:val="32"/>
                <w:rtl w:val="0"/>
              </w:rPr>
              <w:t xml:space="preserve">МЕТА ФОРУМУ</w:t>
            </w:r>
            <w:r w:rsidDel="00000000" w:rsidR="00000000" w:rsidRPr="00000000">
              <w:rPr>
                <w:rtl w:val="0"/>
              </w:rPr>
            </w:r>
          </w:p>
        </w:tc>
      </w:tr>
    </w:tbl>
    <w:p w:rsidR="00000000" w:rsidDel="00000000" w:rsidP="00000000" w:rsidRDefault="00000000" w:rsidRPr="00000000" w14:paraId="0000000A">
      <w:pPr>
        <w:rPr/>
      </w:pPr>
      <w:r w:rsidDel="00000000" w:rsidR="00000000" w:rsidRPr="00000000">
        <w:rPr>
          <w:b w:val="1"/>
          <w:i w:val="1"/>
          <w:rtl w:val="0"/>
        </w:rPr>
        <w:t xml:space="preserve">Метою проведення</w:t>
      </w:r>
      <w:r w:rsidDel="00000000" w:rsidR="00000000" w:rsidRPr="00000000">
        <w:rPr>
          <w:rtl w:val="0"/>
        </w:rPr>
        <w:t xml:space="preserve"> Форуму є розширення та поглиблення знань представників освітнього середовища стосовно феномену горювання, змінення сприйняття принципів та підходів до горя після втрати, щоб знизити вірогідність передачі травми наступним поколінням, підвищення рівня обізнаності представників освітнього середовища щодо процесу горювання.  </w:t>
      </w:r>
    </w:p>
    <w:tbl>
      <w:tblPr>
        <w:tblStyle w:val="Table3"/>
        <w:tblW w:w="9915.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5"/>
        <w:tblGridChange w:id="0">
          <w:tblGrid>
            <w:gridCol w:w="99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3f4c38" w:val="clear"/>
          </w:tcPr>
          <w:p w:rsidR="00000000" w:rsidDel="00000000" w:rsidP="00000000" w:rsidRDefault="00000000" w:rsidRPr="00000000" w14:paraId="0000000B">
            <w:pPr>
              <w:spacing w:after="200" w:before="200" w:lineRule="auto"/>
              <w:jc w:val="center"/>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color w:val="ffffff"/>
                <w:sz w:val="32"/>
                <w:szCs w:val="32"/>
                <w:rtl w:val="0"/>
              </w:rPr>
              <w:t xml:space="preserve">ОСНОВНІ ПИТАННЯ ФОРУМУ</w:t>
            </w:r>
            <w:r w:rsidDel="00000000" w:rsidR="00000000" w:rsidRPr="00000000">
              <w:rPr>
                <w:rtl w:val="0"/>
              </w:rPr>
            </w:r>
          </w:p>
        </w:tc>
      </w:tr>
    </w:tbl>
    <w:p w:rsidR="00000000" w:rsidDel="00000000" w:rsidP="00000000" w:rsidRDefault="00000000" w:rsidRPr="00000000" w14:paraId="0000000C">
      <w:pPr>
        <w:ind w:left="0" w:firstLine="0"/>
        <w:rPr/>
        <w:sectPr>
          <w:pgSz w:h="16838" w:w="11906" w:orient="portrait"/>
          <w:pgMar w:bottom="566.9291338582677" w:top="566.9291338582677" w:left="1700.7874015748032" w:right="850.3937007874016" w:header="708" w:footer="708"/>
          <w:pgNumType w:start="1"/>
        </w:sectPr>
      </w:pPr>
      <w:r w:rsidDel="00000000" w:rsidR="00000000" w:rsidRPr="00000000">
        <w:rPr>
          <w:rtl w:val="0"/>
        </w:rPr>
      </w:r>
    </w:p>
    <w:p w:rsidR="00000000" w:rsidDel="00000000" w:rsidP="00000000" w:rsidRDefault="00000000" w:rsidRPr="00000000" w14:paraId="0000000D">
      <w:pPr>
        <w:numPr>
          <w:ilvl w:val="0"/>
          <w:numId w:val="1"/>
        </w:numPr>
        <w:spacing w:before="0" w:lineRule="auto"/>
        <w:ind w:left="-121.50000000000013" w:right="711.4960629921262" w:hanging="420"/>
        <w:jc w:val="left"/>
        <w:rPr>
          <w:u w:val="none"/>
          <w:vertAlign w:val="baseline"/>
        </w:rPr>
      </w:pPr>
      <w:r w:rsidDel="00000000" w:rsidR="00000000" w:rsidRPr="00000000">
        <w:rPr>
          <w:vertAlign w:val="baseline"/>
          <w:rtl w:val="0"/>
        </w:rPr>
        <w:t xml:space="preserve">філософія горювання – що відбувається під час проживання горя, як саме його треба проживати;</w:t>
      </w:r>
    </w:p>
    <w:p w:rsidR="00000000" w:rsidDel="00000000" w:rsidP="00000000" w:rsidRDefault="00000000" w:rsidRPr="00000000" w14:paraId="0000000E">
      <w:pPr>
        <w:numPr>
          <w:ilvl w:val="0"/>
          <w:numId w:val="1"/>
        </w:numPr>
        <w:spacing w:before="0" w:lineRule="auto"/>
        <w:ind w:left="-121.50000000000013" w:right="711.4960629921262" w:hanging="420"/>
        <w:jc w:val="left"/>
        <w:rPr>
          <w:u w:val="none"/>
          <w:vertAlign w:val="baseline"/>
        </w:rPr>
      </w:pPr>
      <w:r w:rsidDel="00000000" w:rsidR="00000000" w:rsidRPr="00000000">
        <w:rPr>
          <w:vertAlign w:val="baseline"/>
          <w:rtl w:val="0"/>
        </w:rPr>
        <w:t xml:space="preserve">фасилітація внутрішніх процесів свідка горювання;</w:t>
      </w:r>
    </w:p>
    <w:p w:rsidR="00000000" w:rsidDel="00000000" w:rsidP="00000000" w:rsidRDefault="00000000" w:rsidRPr="00000000" w14:paraId="0000000F">
      <w:pPr>
        <w:numPr>
          <w:ilvl w:val="0"/>
          <w:numId w:val="1"/>
        </w:numPr>
        <w:spacing w:before="0" w:lineRule="auto"/>
        <w:ind w:left="-121.50000000000013" w:right="711.4960629921262" w:hanging="420"/>
        <w:jc w:val="left"/>
        <w:rPr>
          <w:u w:val="none"/>
          <w:vertAlign w:val="baseline"/>
        </w:rPr>
      </w:pPr>
      <w:r w:rsidDel="00000000" w:rsidR="00000000" w:rsidRPr="00000000">
        <w:rPr>
          <w:vertAlign w:val="baseline"/>
          <w:rtl w:val="0"/>
        </w:rPr>
        <w:t xml:space="preserve">надання підтримки в процесі горя;</w:t>
      </w:r>
    </w:p>
    <w:p w:rsidR="00000000" w:rsidDel="00000000" w:rsidP="00000000" w:rsidRDefault="00000000" w:rsidRPr="00000000" w14:paraId="00000010">
      <w:pPr>
        <w:numPr>
          <w:ilvl w:val="0"/>
          <w:numId w:val="1"/>
        </w:numPr>
        <w:spacing w:before="0" w:lineRule="auto"/>
        <w:ind w:left="-121.50000000000013" w:right="711.4960629921262" w:hanging="420"/>
        <w:jc w:val="left"/>
        <w:rPr>
          <w:u w:val="none"/>
          <w:vertAlign w:val="baseline"/>
        </w:rPr>
      </w:pPr>
      <w:r w:rsidDel="00000000" w:rsidR="00000000" w:rsidRPr="00000000">
        <w:rPr>
          <w:vertAlign w:val="baseline"/>
          <w:rtl w:val="0"/>
        </w:rPr>
        <w:t xml:space="preserve">особливості дитячого горювання;</w:t>
      </w:r>
    </w:p>
    <w:p w:rsidR="00000000" w:rsidDel="00000000" w:rsidP="00000000" w:rsidRDefault="00000000" w:rsidRPr="00000000" w14:paraId="00000011">
      <w:pPr>
        <w:spacing w:before="0" w:lineRule="auto"/>
        <w:ind w:left="720" w:firstLine="0"/>
        <w:jc w:val="left"/>
        <w:rPr/>
      </w:pPr>
      <w:r w:rsidDel="00000000" w:rsidR="00000000" w:rsidRPr="00000000">
        <w:rPr>
          <w:rtl w:val="0"/>
        </w:rPr>
      </w:r>
    </w:p>
    <w:p w:rsidR="00000000" w:rsidDel="00000000" w:rsidP="00000000" w:rsidRDefault="00000000" w:rsidRPr="00000000" w14:paraId="00000012">
      <w:pPr>
        <w:numPr>
          <w:ilvl w:val="0"/>
          <w:numId w:val="1"/>
        </w:numPr>
        <w:spacing w:before="0" w:lineRule="auto"/>
        <w:ind w:left="450.8267716535431" w:hanging="309.094488188976"/>
        <w:jc w:val="left"/>
        <w:rPr>
          <w:u w:val="none"/>
          <w:vertAlign w:val="baseline"/>
        </w:rPr>
      </w:pPr>
      <w:r w:rsidDel="00000000" w:rsidR="00000000" w:rsidRPr="00000000">
        <w:rPr>
          <w:vertAlign w:val="baseline"/>
          <w:rtl w:val="0"/>
        </w:rPr>
        <w:t xml:space="preserve">психологічна компетентність педагога в процесі контакту з дітьми, які проживають процес горя;</w:t>
      </w:r>
    </w:p>
    <w:p w:rsidR="00000000" w:rsidDel="00000000" w:rsidP="00000000" w:rsidRDefault="00000000" w:rsidRPr="00000000" w14:paraId="00000013">
      <w:pPr>
        <w:numPr>
          <w:ilvl w:val="0"/>
          <w:numId w:val="1"/>
        </w:numPr>
        <w:spacing w:before="0" w:lineRule="auto"/>
        <w:ind w:left="450.8267716535431" w:hanging="309.094488188976"/>
        <w:jc w:val="left"/>
        <w:rPr>
          <w:u w:val="none"/>
          <w:vertAlign w:val="baseline"/>
        </w:rPr>
      </w:pPr>
      <w:r w:rsidDel="00000000" w:rsidR="00000000" w:rsidRPr="00000000">
        <w:rPr>
          <w:vertAlign w:val="baseline"/>
          <w:rtl w:val="0"/>
        </w:rPr>
        <w:t xml:space="preserve">формування навичок контактування з темою горя без втрати власної стабільності;</w:t>
      </w:r>
    </w:p>
    <w:p w:rsidR="00000000" w:rsidDel="00000000" w:rsidP="00000000" w:rsidRDefault="00000000" w:rsidRPr="00000000" w14:paraId="00000014">
      <w:pPr>
        <w:numPr>
          <w:ilvl w:val="0"/>
          <w:numId w:val="1"/>
        </w:numPr>
        <w:spacing w:before="0" w:lineRule="auto"/>
        <w:ind w:left="450.8267716535431" w:hanging="309.094488188976"/>
        <w:jc w:val="left"/>
        <w:rPr>
          <w:u w:val="none"/>
          <w:vertAlign w:val="baseline"/>
        </w:rPr>
        <w:sectPr>
          <w:type w:val="continuous"/>
          <w:pgSz w:h="16838" w:w="11906" w:orient="portrait"/>
          <w:pgMar w:bottom="1134" w:top="1134" w:left="1701" w:right="850" w:header="708" w:footer="708"/>
          <w:cols w:equalWidth="0" w:num="2">
            <w:col w:space="0" w:w="4677.24"/>
            <w:col w:space="0" w:w="4677.24"/>
          </w:cols>
        </w:sectPr>
      </w:pPr>
      <w:r w:rsidDel="00000000" w:rsidR="00000000" w:rsidRPr="00000000">
        <w:rPr>
          <w:vertAlign w:val="baseline"/>
          <w:rtl w:val="0"/>
        </w:rPr>
        <w:t xml:space="preserve">здорове проживання процесу горя як спосіб виходу на посттравматичне зростання</w:t>
      </w:r>
    </w:p>
    <w:p w:rsidR="00000000" w:rsidDel="00000000" w:rsidP="00000000" w:rsidRDefault="00000000" w:rsidRPr="00000000" w14:paraId="00000015">
      <w:pPr>
        <w:jc w:val="left"/>
        <w:rPr>
          <w:highlight w:val="white"/>
        </w:rPr>
      </w:pPr>
      <w:r w:rsidDel="00000000" w:rsidR="00000000" w:rsidRPr="00000000">
        <w:rPr>
          <w:rtl w:val="0"/>
        </w:rPr>
      </w:r>
    </w:p>
    <w:tbl>
      <w:tblPr>
        <w:tblStyle w:val="Table4"/>
        <w:tblW w:w="9930.0" w:type="dxa"/>
        <w:jc w:val="left"/>
        <w:tblInd w:w="-5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30"/>
        <w:tblGridChange w:id="0">
          <w:tblGrid>
            <w:gridCol w:w="9930"/>
          </w:tblGrid>
        </w:tblGridChange>
      </w:tblGrid>
      <w:tr>
        <w:trPr>
          <w:cantSplit w:val="0"/>
          <w:tblHeader w:val="0"/>
        </w:trPr>
        <w:tc>
          <w:tcPr>
            <w:shd w:fill="3f4c38" w:val="clear"/>
          </w:tcPr>
          <w:p w:rsidR="00000000" w:rsidDel="00000000" w:rsidP="00000000" w:rsidRDefault="00000000" w:rsidRPr="00000000" w14:paraId="00000016">
            <w:pPr>
              <w:spacing w:after="200" w:before="200" w:lineRule="auto"/>
              <w:jc w:val="center"/>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color w:val="ffffff"/>
                <w:sz w:val="32"/>
                <w:szCs w:val="32"/>
                <w:rtl w:val="0"/>
              </w:rPr>
              <w:t xml:space="preserve">МІСЦЕ І ЧАС ПРОВЕДЕННЯ</w:t>
            </w: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t xml:space="preserve">Місце проведення: платформа для відеозустрічей Zoom.</w:t>
      </w:r>
    </w:p>
    <w:p w:rsidR="00000000" w:rsidDel="00000000" w:rsidP="00000000" w:rsidRDefault="00000000" w:rsidRPr="00000000" w14:paraId="00000018">
      <w:pPr>
        <w:rPr>
          <w:vertAlign w:val="baseline"/>
        </w:rPr>
      </w:pPr>
      <w:r w:rsidDel="00000000" w:rsidR="00000000" w:rsidRPr="00000000">
        <w:rPr>
          <w:vertAlign w:val="baseline"/>
          <w:rtl w:val="0"/>
        </w:rPr>
        <w:t xml:space="preserve">Час проведення: субота, 09 грудня 2023 р., 10:00-14:00. </w:t>
      </w:r>
    </w:p>
    <w:tbl>
      <w:tblPr>
        <w:tblStyle w:val="Table5"/>
        <w:tblW w:w="10140.0" w:type="dxa"/>
        <w:jc w:val="left"/>
        <w:tblInd w:w="-5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40"/>
        <w:tblGridChange w:id="0">
          <w:tblGrid>
            <w:gridCol w:w="10140"/>
          </w:tblGrid>
        </w:tblGridChange>
      </w:tblGrid>
      <w:tr>
        <w:trPr>
          <w:cantSplit w:val="0"/>
          <w:trHeight w:val="70" w:hRule="atLeast"/>
          <w:tblHeader w:val="0"/>
        </w:trPr>
        <w:tc>
          <w:tcPr>
            <w:tcBorders>
              <w:top w:color="000000" w:space="0" w:sz="0" w:val="nil"/>
              <w:left w:color="000000" w:space="0" w:sz="0" w:val="nil"/>
              <w:bottom w:color="000000" w:space="0" w:sz="0" w:val="nil"/>
              <w:right w:color="000000" w:space="0" w:sz="0" w:val="nil"/>
            </w:tcBorders>
            <w:shd w:fill="bfa291" w:val="clear"/>
          </w:tcPr>
          <w:p w:rsidR="00000000" w:rsidDel="00000000" w:rsidP="00000000" w:rsidRDefault="00000000" w:rsidRPr="00000000" w14:paraId="00000019">
            <w:pPr>
              <w:spacing w:after="200" w:before="20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ffffff"/>
                <w:sz w:val="32"/>
                <w:szCs w:val="32"/>
                <w:rtl w:val="0"/>
              </w:rPr>
              <w:t xml:space="preserve">СПІКЕРИ ФОРУМУ</w:t>
            </w:r>
            <w:r w:rsidDel="00000000" w:rsidR="00000000" w:rsidRPr="00000000">
              <w:rPr>
                <w:rtl w:val="0"/>
              </w:rPr>
            </w:r>
          </w:p>
        </w:tc>
      </w:tr>
    </w:tbl>
    <w:p w:rsidR="00000000" w:rsidDel="00000000" w:rsidP="00000000" w:rsidRDefault="00000000" w:rsidRPr="00000000" w14:paraId="0000001A">
      <w:pPr>
        <w:rPr/>
      </w:pPr>
      <w:r w:rsidDel="00000000" w:rsidR="00000000" w:rsidRPr="00000000">
        <w:rPr>
          <w:b w:val="1"/>
          <w:rtl w:val="0"/>
        </w:rPr>
        <w:t xml:space="preserve">Оксана Королович</w:t>
      </w:r>
      <w:r w:rsidDel="00000000" w:rsidR="00000000" w:rsidRPr="00000000">
        <w:rPr>
          <w:rtl w:val="0"/>
        </w:rPr>
        <w:tab/>
        <w:t xml:space="preserve"> – психологиня Phd, травматерапевтка, психотерапевтка в системному підході, фасилітаторка, медіаторка, навчальна тренерка та супервізорка. Співзасновниця і Голова ГО «Міжнародна спільнота жінок «Лагерта». </w:t>
      </w:r>
    </w:p>
    <w:p w:rsidR="00000000" w:rsidDel="00000000" w:rsidP="00000000" w:rsidRDefault="00000000" w:rsidRPr="00000000" w14:paraId="0000001B">
      <w:pPr>
        <w:rPr/>
      </w:pPr>
      <w:r w:rsidDel="00000000" w:rsidR="00000000" w:rsidRPr="00000000">
        <w:rPr>
          <w:b w:val="1"/>
          <w:rtl w:val="0"/>
        </w:rPr>
        <w:t xml:space="preserve">Ярослава Кот-Міронова</w:t>
      </w:r>
      <w:r w:rsidDel="00000000" w:rsidR="00000000" w:rsidRPr="00000000">
        <w:rPr>
          <w:rtl w:val="0"/>
        </w:rPr>
        <w:t xml:space="preserve"> – фасилітаторка в процес-орієнтованому та системному підходах, здобувач статусу Дипломанта з правом викладання (стандарт IAPOP), конфліктолог, міжнародник-аналітик. Співзасновниця ГО «Міжнародна спільнота жінок «Лагерта». </w:t>
      </w:r>
    </w:p>
    <w:p w:rsidR="00000000" w:rsidDel="00000000" w:rsidP="00000000" w:rsidRDefault="00000000" w:rsidRPr="00000000" w14:paraId="0000001C">
      <w:pPr>
        <w:rPr/>
      </w:pPr>
      <w:r w:rsidDel="00000000" w:rsidR="00000000" w:rsidRPr="00000000">
        <w:rPr>
          <w:b w:val="1"/>
          <w:rtl w:val="0"/>
        </w:rPr>
        <w:t xml:space="preserve">Тетяна Марченко</w:t>
      </w:r>
      <w:r w:rsidDel="00000000" w:rsidR="00000000" w:rsidRPr="00000000">
        <w:rPr>
          <w:rtl w:val="0"/>
        </w:rPr>
        <w:t xml:space="preserve"> – травматерапевтка, дитяча психологиня, психотерапевтка у методі Транзактного Аналізу та Інтегративноі психотерапіі з фокусом на відносини. Психологиня. </w:t>
      </w:r>
    </w:p>
    <w:p w:rsidR="00000000" w:rsidDel="00000000" w:rsidP="00000000" w:rsidRDefault="00000000" w:rsidRPr="00000000" w14:paraId="0000001D">
      <w:pPr>
        <w:rPr/>
      </w:pPr>
      <w:r w:rsidDel="00000000" w:rsidR="00000000" w:rsidRPr="00000000">
        <w:rPr>
          <w:b w:val="1"/>
          <w:rtl w:val="0"/>
        </w:rPr>
        <w:t xml:space="preserve">Олена Бідованець</w:t>
      </w:r>
      <w:r w:rsidDel="00000000" w:rsidR="00000000" w:rsidRPr="00000000">
        <w:rPr>
          <w:rtl w:val="0"/>
        </w:rPr>
        <w:t xml:space="preserve"> – лікар, магістр громадського здоров’я (напрям Глобального здоровʼя), стипендіат програми Фулбрайт, Boulder Crest Представниця (Посттравматичне зростання).  </w:t>
      </w:r>
    </w:p>
    <w:tbl>
      <w:tblPr>
        <w:tblStyle w:val="Table6"/>
        <w:tblW w:w="9990.0" w:type="dxa"/>
        <w:jc w:val="left"/>
        <w:tblInd w:w="-6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90"/>
        <w:tblGridChange w:id="0">
          <w:tblGrid>
            <w:gridCol w:w="9990"/>
          </w:tblGrid>
        </w:tblGridChange>
      </w:tblGrid>
      <w:tr>
        <w:trPr>
          <w:cantSplit w:val="0"/>
          <w:trHeight w:val="236" w:hRule="atLeast"/>
          <w:tblHeader w:val="0"/>
        </w:trPr>
        <w:tc>
          <w:tcPr>
            <w:shd w:fill="bfa291" w:val="clear"/>
          </w:tcPr>
          <w:p w:rsidR="00000000" w:rsidDel="00000000" w:rsidP="00000000" w:rsidRDefault="00000000" w:rsidRPr="00000000" w14:paraId="0000001E">
            <w:pPr>
              <w:spacing w:after="200" w:before="200" w:lineRule="auto"/>
              <w:jc w:val="center"/>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color w:val="ffffff"/>
                <w:sz w:val="32"/>
                <w:szCs w:val="32"/>
                <w:rtl w:val="0"/>
              </w:rPr>
              <w:t xml:space="preserve">ОРГАНІЗАТОРИ ТА ПАРТНЕРИ ФОРУМУ</w:t>
            </w: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t xml:space="preserve">Проведення Форуму є ініціативою Громадської організації «Міжнародна спільнота жінок «Лагерта» за інформаційної підтримки освітньої платформи «4PEOPLE».</w:t>
      </w:r>
    </w:p>
    <w:sectPr>
      <w:type w:val="continuous"/>
      <w:pgSz w:h="16838" w:w="11906"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UA"/>
      </w:rPr>
    </w:rPrDefault>
    <w:pPrDefault>
      <w:pPr>
        <w:spacing w:after="120" w:before="120" w:lineRule="auto"/>
        <w:ind w:left="-566.9291338582675"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before="240" w:lineRule="auto"/>
    </w:pPr>
    <w:rPr>
      <w:smallCaps w:val="1"/>
      <w:color w:val="ffffff"/>
      <w:sz w:val="28"/>
      <w:szCs w:val="28"/>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sz w:val="28"/>
      <w:szCs w:val="28"/>
    </w:rPr>
  </w:style>
  <w:style w:type="paragraph" w:styleId="Heading3">
    <w:name w:val="heading 3"/>
    <w:basedOn w:val="Normal"/>
    <w:next w:val="Normal"/>
    <w:pPr>
      <w:pBdr>
        <w:top w:color="4472c4" w:space="2" w:sz="6" w:val="single"/>
      </w:pBdr>
      <w:spacing w:after="0" w:before="300" w:lineRule="auto"/>
    </w:pPr>
    <w:rPr>
      <w:smallCaps w:val="1"/>
      <w:color w:val="1f3863"/>
    </w:rPr>
  </w:style>
  <w:style w:type="paragraph" w:styleId="Heading4">
    <w:name w:val="heading 4"/>
    <w:basedOn w:val="Normal"/>
    <w:next w:val="Normal"/>
    <w:pPr>
      <w:pBdr>
        <w:top w:color="4472c4" w:space="2" w:sz="6" w:val="dotted"/>
      </w:pBdr>
      <w:spacing w:after="0" w:before="200" w:lineRule="auto"/>
    </w:pPr>
    <w:rPr>
      <w:smallCaps w:val="1"/>
      <w:color w:val="2f5496"/>
    </w:rPr>
  </w:style>
  <w:style w:type="paragraph" w:styleId="Heading5">
    <w:name w:val="heading 5"/>
    <w:basedOn w:val="Normal"/>
    <w:next w:val="Normal"/>
    <w:pPr>
      <w:pBdr>
        <w:bottom w:color="4472c4" w:space="1" w:sz="6" w:val="single"/>
      </w:pBdr>
      <w:spacing w:after="0" w:before="200" w:lineRule="auto"/>
    </w:pPr>
    <w:rPr>
      <w:smallCaps w:val="1"/>
      <w:color w:val="2f5496"/>
    </w:rPr>
  </w:style>
  <w:style w:type="paragraph" w:styleId="Heading6">
    <w:name w:val="heading 6"/>
    <w:basedOn w:val="Normal"/>
    <w:next w:val="Normal"/>
    <w:pPr>
      <w:pBdr>
        <w:bottom w:color="4472c4" w:space="1" w:sz="6" w:val="dotted"/>
      </w:pBdr>
      <w:spacing w:after="0" w:before="200" w:lineRule="auto"/>
    </w:pPr>
    <w:rPr>
      <w:smallCaps w:val="1"/>
      <w:color w:val="2f5496"/>
    </w:rPr>
  </w:style>
  <w:style w:type="paragraph" w:styleId="Title">
    <w:name w:val="Title"/>
    <w:basedOn w:val="Normal"/>
    <w:next w:val="Normal"/>
    <w:pPr>
      <w:spacing w:after="0" w:before="0" w:lineRule="auto"/>
    </w:pPr>
    <w:rPr>
      <w:rFonts w:ascii="Calibri" w:cs="Calibri" w:eastAsia="Calibri" w:hAnsi="Calibri"/>
      <w:smallCaps w:val="1"/>
      <w:color w:val="4472c4"/>
      <w:sz w:val="52"/>
      <w:szCs w:val="52"/>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1g76WKzPS1+jPQFmQuOCmIQ4g==">CgMxLjA4AHIhMUZNdFljUUZ4YlFNLU54emVmRUMyeEpiV0VEcnZJS3B2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